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34" w:rsidRDefault="00492534" w:rsidP="0049253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Пресс-конференция </w:t>
      </w:r>
    </w:p>
    <w:p w:rsidR="00492534" w:rsidRDefault="00492534" w:rsidP="0049253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федеральной налоговой службы по Республике Бурятия</w:t>
      </w:r>
    </w:p>
    <w:p w:rsidR="00492534" w:rsidRPr="00CB2FDB" w:rsidRDefault="00492534" w:rsidP="004925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:rsidR="00492534" w:rsidRDefault="00492534" w:rsidP="004925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23.12.2020</w:t>
      </w:r>
    </w:p>
    <w:p w:rsidR="00492534" w:rsidRPr="00CB2FDB" w:rsidRDefault="00492534" w:rsidP="004925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:rsidR="00492534" w:rsidRDefault="00492534" w:rsidP="0049253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Тема:</w:t>
      </w:r>
      <w:r w:rsidRPr="00380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изменениях в налоговом законодательстве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НДФЛ и страховым взносам </w:t>
      </w:r>
      <w:r w:rsidRPr="00CB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Спикер: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Трускова</w:t>
      </w:r>
      <w:proofErr w:type="spellEnd"/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</w:t>
      </w:r>
      <w:proofErr w:type="spellStart"/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Намсараевна</w:t>
      </w:r>
      <w:proofErr w:type="spellEnd"/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начальник отдела налогообложения доходов</w:t>
      </w:r>
    </w:p>
    <w:p w:rsidR="00A63D45" w:rsidRDefault="00492534" w:rsidP="0049253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25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физических лиц и администрирования страховых взносов</w:t>
      </w:r>
    </w:p>
    <w:p w:rsidR="00542263" w:rsidRPr="00492534" w:rsidRDefault="00542263" w:rsidP="00542263">
      <w:pPr>
        <w:pStyle w:val="ConsPlusNormal"/>
        <w:ind w:left="180"/>
        <w:rPr>
          <w:rFonts w:ascii="Times New Roman" w:hAnsi="Times New Roman" w:cs="Times New Roman"/>
          <w:b/>
          <w:sz w:val="26"/>
          <w:szCs w:val="26"/>
        </w:rPr>
      </w:pPr>
    </w:p>
    <w:p w:rsidR="00E8328E" w:rsidRPr="00492534" w:rsidRDefault="00E8328E" w:rsidP="00A62E0C">
      <w:pPr>
        <w:pStyle w:val="ConsPlusNormal"/>
        <w:ind w:left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534">
        <w:rPr>
          <w:rFonts w:ascii="Times New Roman" w:hAnsi="Times New Roman" w:cs="Times New Roman"/>
          <w:b/>
          <w:sz w:val="26"/>
          <w:szCs w:val="26"/>
        </w:rPr>
        <w:t>НДФЛ</w:t>
      </w:r>
    </w:p>
    <w:p w:rsidR="002031E8" w:rsidRPr="00492534" w:rsidRDefault="002031E8" w:rsidP="00FE1C55">
      <w:pPr>
        <w:pStyle w:val="ConsPlusNormal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В 2019 году приняты ряд значительных изменений по НДФЛ, а также отдельные поправки по страховым взносам. </w:t>
      </w:r>
    </w:p>
    <w:p w:rsidR="002031E8" w:rsidRPr="00492534" w:rsidRDefault="002031E8" w:rsidP="00FE1C55">
      <w:pPr>
        <w:pStyle w:val="ConsPlusNormal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Что касается НДФЛ, то изменения коснулись налоговых агентов, индивидуальных предпринимателей и граждан. </w:t>
      </w:r>
    </w:p>
    <w:p w:rsidR="00542263" w:rsidRPr="00492534" w:rsidRDefault="00542263" w:rsidP="00FE1C55">
      <w:pPr>
        <w:pStyle w:val="ConsPlusNormal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3CF" w:rsidRPr="00492534" w:rsidRDefault="002031E8" w:rsidP="00A62E0C">
      <w:pPr>
        <w:pStyle w:val="ConsPlusNormal"/>
        <w:ind w:left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534">
        <w:rPr>
          <w:rFonts w:ascii="Times New Roman" w:hAnsi="Times New Roman" w:cs="Times New Roman"/>
          <w:b/>
          <w:sz w:val="26"/>
          <w:szCs w:val="26"/>
        </w:rPr>
        <w:t>Налоговые агенты</w:t>
      </w:r>
    </w:p>
    <w:p w:rsidR="002031E8" w:rsidRPr="00492534" w:rsidRDefault="00FE1C55" w:rsidP="006D1F5F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="00F14618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="002031E8" w:rsidRPr="00492534">
        <w:rPr>
          <w:rFonts w:ascii="Times New Roman" w:hAnsi="Times New Roman" w:cs="Times New Roman"/>
          <w:sz w:val="26"/>
          <w:szCs w:val="26"/>
        </w:rPr>
        <w:t>Срок сдачи годовой отчетности по НДФЛ (2-НДФЛ, 6НДФЛ) сдвинули на месяц раньше: на 1 марта вместо 1 апреля. Однако, поскольку в 2020 году 1 марта выпадает на выходной, срок продлевается до 2 марта.</w:t>
      </w:r>
    </w:p>
    <w:p w:rsidR="002031E8" w:rsidRPr="00492534" w:rsidRDefault="002B697E" w:rsidP="006D1F5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  </w:t>
      </w:r>
      <w:r w:rsidR="002031E8" w:rsidRPr="00492534">
        <w:rPr>
          <w:rFonts w:ascii="Times New Roman" w:hAnsi="Times New Roman" w:cs="Times New Roman"/>
          <w:sz w:val="26"/>
          <w:szCs w:val="26"/>
        </w:rPr>
        <w:t>Исключительно в электронном виде нужно будет отчитываться по НДФЛ тем, у кого 10 и более работников. Право подавать документы на бумаге оставили работодателям с меньшим числом сотрудников (ранее порог - до 25 человек).</w:t>
      </w:r>
    </w:p>
    <w:p w:rsidR="00916272" w:rsidRPr="00492534" w:rsidRDefault="002031E8" w:rsidP="006D1F5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В контрольных соотношениях по 6-НДФЛ предусмотр</w:t>
      </w:r>
      <w:r w:rsidR="006D1F5F" w:rsidRPr="00492534">
        <w:rPr>
          <w:rFonts w:ascii="Times New Roman" w:hAnsi="Times New Roman" w:cs="Times New Roman"/>
          <w:sz w:val="26"/>
          <w:szCs w:val="26"/>
        </w:rPr>
        <w:t>ели</w:t>
      </w:r>
      <w:r w:rsidRPr="00492534">
        <w:rPr>
          <w:rFonts w:ascii="Times New Roman" w:hAnsi="Times New Roman" w:cs="Times New Roman"/>
          <w:sz w:val="26"/>
          <w:szCs w:val="26"/>
        </w:rPr>
        <w:t xml:space="preserve"> сравнение зарплаты с МРОТ и средней зарплатой в регионе (по отрасли экономики за предыдущий год). В случае нарушения </w:t>
      </w:r>
      <w:r w:rsidR="00916272" w:rsidRPr="00492534">
        <w:rPr>
          <w:rFonts w:ascii="Times New Roman" w:hAnsi="Times New Roman" w:cs="Times New Roman"/>
          <w:sz w:val="26"/>
          <w:szCs w:val="26"/>
        </w:rPr>
        <w:t>данных соотношений налоговыми органами направляются требования о предоставлении уточненных сведений либо пояснений. Каждый работодатель может самостоятельно сопоставить свои данные по выплачиваемой заработной плате</w:t>
      </w:r>
      <w:r w:rsidR="00A62E0C" w:rsidRPr="00492534">
        <w:rPr>
          <w:rFonts w:ascii="Times New Roman" w:hAnsi="Times New Roman" w:cs="Times New Roman"/>
          <w:sz w:val="26"/>
          <w:szCs w:val="26"/>
        </w:rPr>
        <w:t xml:space="preserve"> своим работникам</w:t>
      </w:r>
      <w:r w:rsidR="00916272" w:rsidRPr="00492534">
        <w:rPr>
          <w:rFonts w:ascii="Times New Roman" w:hAnsi="Times New Roman" w:cs="Times New Roman"/>
          <w:sz w:val="26"/>
          <w:szCs w:val="26"/>
        </w:rPr>
        <w:t xml:space="preserve"> со средней по региону. Для этого можно использовать Налоговый калькулятор, который размещен на сайте службы в рубрике Прозрачный бизнес. Расчет калькулятора основан на фактических сведениях 2- НДФЛ</w:t>
      </w:r>
      <w:r w:rsidR="00A62E0C" w:rsidRPr="00492534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A62E0C" w:rsidRPr="00492534">
        <w:rPr>
          <w:rFonts w:ascii="Times New Roman" w:hAnsi="Times New Roman" w:cs="Times New Roman"/>
          <w:sz w:val="26"/>
          <w:szCs w:val="26"/>
        </w:rPr>
        <w:t>представленных в ТНО.</w:t>
      </w:r>
      <w:r w:rsidR="00A62E0C" w:rsidRPr="0049253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16272" w:rsidRPr="0049253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05F25" w:rsidRPr="00492534" w:rsidRDefault="00916272" w:rsidP="006D1F5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Начиная</w:t>
      </w:r>
      <w:r w:rsidRPr="00492534">
        <w:rPr>
          <w:rFonts w:ascii="Times New Roman" w:hAnsi="Times New Roman" w:cs="Times New Roman"/>
          <w:i/>
          <w:sz w:val="26"/>
          <w:szCs w:val="26"/>
        </w:rPr>
        <w:t xml:space="preserve"> с </w:t>
      </w:r>
      <w:r w:rsidR="00E05F25" w:rsidRPr="00492534">
        <w:rPr>
          <w:rFonts w:ascii="Times New Roman" w:hAnsi="Times New Roman" w:cs="Times New Roman"/>
          <w:sz w:val="26"/>
          <w:szCs w:val="26"/>
        </w:rPr>
        <w:t>2020</w:t>
      </w:r>
      <w:r w:rsidRPr="00492534">
        <w:rPr>
          <w:rFonts w:ascii="Times New Roman" w:hAnsi="Times New Roman" w:cs="Times New Roman"/>
          <w:sz w:val="26"/>
          <w:szCs w:val="26"/>
        </w:rPr>
        <w:t xml:space="preserve"> года организация,</w:t>
      </w:r>
      <w:r w:rsidR="00A62E0C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Pr="00492534">
        <w:rPr>
          <w:rFonts w:ascii="Times New Roman" w:hAnsi="Times New Roman" w:cs="Times New Roman"/>
          <w:sz w:val="26"/>
          <w:szCs w:val="26"/>
        </w:rPr>
        <w:t xml:space="preserve">имеющая </w:t>
      </w:r>
      <w:r w:rsidR="00E05F25" w:rsidRPr="00492534">
        <w:rPr>
          <w:rFonts w:ascii="Times New Roman" w:hAnsi="Times New Roman" w:cs="Times New Roman"/>
          <w:sz w:val="26"/>
          <w:szCs w:val="26"/>
        </w:rPr>
        <w:t>несколько обособленных подразделений</w:t>
      </w:r>
      <w:r w:rsidRPr="00492534">
        <w:rPr>
          <w:rFonts w:ascii="Times New Roman" w:hAnsi="Times New Roman" w:cs="Times New Roman"/>
          <w:sz w:val="26"/>
          <w:szCs w:val="26"/>
        </w:rPr>
        <w:t>, которые</w:t>
      </w:r>
      <w:r w:rsidR="00FE1C55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="00E05F25" w:rsidRPr="00492534">
        <w:rPr>
          <w:rFonts w:ascii="Times New Roman" w:hAnsi="Times New Roman" w:cs="Times New Roman"/>
          <w:sz w:val="26"/>
          <w:szCs w:val="26"/>
        </w:rPr>
        <w:t>расположены в одном муниципальном образовании,</w:t>
      </w:r>
      <w:r w:rsidRPr="00492534">
        <w:rPr>
          <w:rFonts w:ascii="Times New Roman" w:hAnsi="Times New Roman" w:cs="Times New Roman"/>
          <w:sz w:val="26"/>
          <w:szCs w:val="26"/>
        </w:rPr>
        <w:t xml:space="preserve"> вправе сдавать отчетность </w:t>
      </w:r>
      <w:r w:rsidR="00E05F25" w:rsidRPr="00492534">
        <w:rPr>
          <w:rFonts w:ascii="Times New Roman" w:hAnsi="Times New Roman" w:cs="Times New Roman"/>
          <w:sz w:val="26"/>
          <w:szCs w:val="26"/>
        </w:rPr>
        <w:t>в налоговый орган по месту нахождения одного из них. Если в одном муниципальном образовании расположены головная организация и обособленные подразделения, отчетность может сдаваться по месту нахождения организации. В обоих случаях нужно не позднее 1-го числа налогового периода уведомить налоговы</w:t>
      </w:r>
      <w:r w:rsidR="0062798D" w:rsidRPr="00492534">
        <w:rPr>
          <w:rFonts w:ascii="Times New Roman" w:hAnsi="Times New Roman" w:cs="Times New Roman"/>
          <w:sz w:val="26"/>
          <w:szCs w:val="26"/>
        </w:rPr>
        <w:t>й</w:t>
      </w:r>
      <w:r w:rsidR="00E05F25" w:rsidRPr="00492534">
        <w:rPr>
          <w:rFonts w:ascii="Times New Roman" w:hAnsi="Times New Roman" w:cs="Times New Roman"/>
          <w:sz w:val="26"/>
          <w:szCs w:val="26"/>
        </w:rPr>
        <w:t xml:space="preserve"> орган по месту нахождения</w:t>
      </w:r>
      <w:r w:rsidR="0062798D" w:rsidRPr="00492534">
        <w:rPr>
          <w:rFonts w:ascii="Times New Roman" w:hAnsi="Times New Roman" w:cs="Times New Roman"/>
          <w:sz w:val="26"/>
          <w:szCs w:val="26"/>
        </w:rPr>
        <w:t xml:space="preserve"> обособленного</w:t>
      </w:r>
      <w:r w:rsidR="00E05F25" w:rsidRPr="00492534">
        <w:rPr>
          <w:rFonts w:ascii="Times New Roman" w:hAnsi="Times New Roman" w:cs="Times New Roman"/>
          <w:sz w:val="26"/>
          <w:szCs w:val="26"/>
        </w:rPr>
        <w:t xml:space="preserve"> подразделения</w:t>
      </w:r>
      <w:r w:rsidR="0062798D" w:rsidRPr="00492534">
        <w:rPr>
          <w:rFonts w:ascii="Times New Roman" w:hAnsi="Times New Roman" w:cs="Times New Roman"/>
          <w:sz w:val="26"/>
          <w:szCs w:val="26"/>
        </w:rPr>
        <w:t xml:space="preserve">, которую выбрали. Учитывая переходный период, ФНС продлил срок подачи уведомления до конца января. </w:t>
      </w:r>
      <w:r w:rsidR="00E05F25" w:rsidRPr="00492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492B" w:rsidRPr="00492534" w:rsidRDefault="00A3492B" w:rsidP="00A3492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92534">
        <w:rPr>
          <w:rFonts w:ascii="Times New Roman" w:hAnsi="Times New Roman"/>
          <w:sz w:val="26"/>
          <w:szCs w:val="26"/>
        </w:rPr>
        <w:t xml:space="preserve">Налоговыми агентами признаются также российские организации и индивидуальные предприниматели, осуществляющие выплаты по договорам купли-продажи (мены) ценных бумаг, заключенным ими с налогоплательщиками, начиная с 2020 года </w:t>
      </w:r>
    </w:p>
    <w:p w:rsidR="00E05F25" w:rsidRPr="00492534" w:rsidRDefault="00E05F25" w:rsidP="006D1F5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b/>
          <w:sz w:val="26"/>
          <w:szCs w:val="26"/>
        </w:rPr>
        <w:t>Существенные изменения с 01.01.2020 внесены в ст. 217 НК РФ - перечень не облагаемых НДФЛ доходов</w:t>
      </w:r>
      <w:r w:rsidRPr="00492534">
        <w:rPr>
          <w:rFonts w:ascii="Times New Roman" w:hAnsi="Times New Roman" w:cs="Times New Roman"/>
          <w:sz w:val="26"/>
          <w:szCs w:val="26"/>
        </w:rPr>
        <w:t>:</w:t>
      </w:r>
    </w:p>
    <w:p w:rsidR="00A62E0C" w:rsidRPr="00492534" w:rsidRDefault="00E05F25" w:rsidP="00A62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- объединены не облагаемые НДФЛ компенсационные выплаты в п. 1 ст. 217 НК РФ;</w:t>
      </w:r>
    </w:p>
    <w:p w:rsidR="00E05F25" w:rsidRPr="00492534" w:rsidRDefault="00E05F25" w:rsidP="00A62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- конкретизирована норма о компенсационных выплатах медицинским работникам (не подлежат обложению НДФЛ доходы в виде единовременных компенсационных выплат медицинским работникам, не превышающие 1 000 000 руб., финансовое обеспечение которых осуществляется в соответствии с правилами, прилагаемыми к соответствующей государственной программе РФ, утверждаемой Правительством РФ)</w:t>
      </w:r>
      <w:r w:rsidR="00FE1C55" w:rsidRPr="00492534">
        <w:rPr>
          <w:rFonts w:ascii="Times New Roman" w:hAnsi="Times New Roman" w:cs="Times New Roman"/>
          <w:sz w:val="26"/>
          <w:szCs w:val="26"/>
        </w:rPr>
        <w:t>. Также</w:t>
      </w:r>
      <w:r w:rsidR="003F5E2E" w:rsidRPr="00492534">
        <w:rPr>
          <w:rFonts w:ascii="Times New Roman" w:hAnsi="Times New Roman" w:cs="Times New Roman"/>
          <w:sz w:val="26"/>
          <w:szCs w:val="26"/>
        </w:rPr>
        <w:t xml:space="preserve"> не облагаются выплаты педагогическим работникам. </w:t>
      </w:r>
      <w:r w:rsidR="00FD0ABA" w:rsidRPr="00492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5F25" w:rsidRPr="00492534" w:rsidRDefault="00E05F25" w:rsidP="00A62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- расширена норма о доходах, полученных ветеранами боевых действий (в силу п. 69 </w:t>
      </w:r>
      <w:r w:rsidRPr="00492534">
        <w:rPr>
          <w:rFonts w:ascii="Times New Roman" w:hAnsi="Times New Roman" w:cs="Times New Roman"/>
          <w:sz w:val="26"/>
          <w:szCs w:val="26"/>
        </w:rPr>
        <w:lastRenderedPageBreak/>
        <w:t>ст. 217 НК РФ не облагаются НДФЛ доходы в виде ежемесячных денежных выплат, производимых ветеранам боевых действий в соответствии с Федеральным законом от 12.01.1995 N 5-ФЗ "О ветеранах"; с 1 января 2020 года к указанным необлагаемым доходам добавляются доходы в денежной и (или) натуральной формах, полученные налогоплательщиками в соответствии с Законом РФ от 15.01.1993 N 4301-1 "О статусе Героев Советского Союза, Героев Российской Федерации и полных кавалеров ордена Славы", Федеральным законом от 09.01.1997 N 5-ФЗ "О предоставлении социальных гарантий Героям Социалистического Труда, Героям Труда Российской Федерации и полным кавалерам ордена Трудовой Славы");</w:t>
      </w:r>
    </w:p>
    <w:p w:rsidR="009E43C0" w:rsidRPr="00492534" w:rsidRDefault="009E43C0" w:rsidP="00A6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- </w:t>
      </w:r>
      <w:r w:rsidRPr="00492534">
        <w:rPr>
          <w:rFonts w:ascii="Times New Roman" w:hAnsi="Times New Roman" w:cs="Times New Roman"/>
          <w:bCs/>
          <w:iCs/>
          <w:sz w:val="26"/>
          <w:szCs w:val="26"/>
        </w:rPr>
        <w:t>доходы в виде суммы задолженности перед кредитором (организацией или индивидуальным предпринимателем), от исполнения требований по уплате которой налогоплательщик полностью или частично освобождается при прекращении соответствующего обязательства в связи с признанием такой задолженности в установленном порядке безнадежной к взысканию, при одновременном соблюдении следующих условий:</w:t>
      </w:r>
    </w:p>
    <w:p w:rsidR="009E43C0" w:rsidRPr="00492534" w:rsidRDefault="009E43C0" w:rsidP="00A6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92534">
        <w:rPr>
          <w:rFonts w:ascii="Times New Roman" w:hAnsi="Times New Roman" w:cs="Times New Roman"/>
          <w:bCs/>
          <w:iCs/>
          <w:sz w:val="26"/>
          <w:szCs w:val="26"/>
        </w:rPr>
        <w:t xml:space="preserve">    -налогоплательщик не является взаимозависимым лицом с кредитором и (или) не состоит с ним в трудовых отношениях в течение всего периода наличия обязательства;</w:t>
      </w:r>
    </w:p>
    <w:p w:rsidR="009E43C0" w:rsidRPr="00492534" w:rsidRDefault="009E43C0" w:rsidP="00A6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92534">
        <w:rPr>
          <w:rFonts w:ascii="Times New Roman" w:hAnsi="Times New Roman" w:cs="Times New Roman"/>
          <w:bCs/>
          <w:iCs/>
          <w:sz w:val="26"/>
          <w:szCs w:val="26"/>
        </w:rPr>
        <w:t xml:space="preserve">     - такие доходы фактически не являются материальной помощью либо формой встречного исполнения организацией или индивидуальным предпринимателем обязательства перед налогоплательщиком, в том числе оплатой (вознаграждением) за поставленные налогоплательщиком товары (выполненные работы, оказанные услуги);"</w:t>
      </w:r>
    </w:p>
    <w:p w:rsidR="00E05F25" w:rsidRPr="00492534" w:rsidRDefault="00E05F25" w:rsidP="00A6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- введены новые виды доходов, не облагаемые НДФЛ, перечень та</w:t>
      </w:r>
      <w:r w:rsidR="00894584" w:rsidRPr="00492534">
        <w:rPr>
          <w:rFonts w:ascii="Times New Roman" w:hAnsi="Times New Roman" w:cs="Times New Roman"/>
          <w:sz w:val="26"/>
          <w:szCs w:val="26"/>
        </w:rPr>
        <w:t>ких доходов Вы видите на слайде:</w:t>
      </w:r>
    </w:p>
    <w:p w:rsidR="00894584" w:rsidRPr="00492534" w:rsidRDefault="00FD0ABA" w:rsidP="005422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A777F4" wp14:editId="34A70915">
            <wp:extent cx="6408966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0081" cy="300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55" w:rsidRPr="00492534" w:rsidRDefault="00FE1C55" w:rsidP="00A62E0C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0ABA" w:rsidRPr="00492534" w:rsidRDefault="00FD0ABA" w:rsidP="00A62E0C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534">
        <w:rPr>
          <w:rFonts w:ascii="Times New Roman" w:hAnsi="Times New Roman" w:cs="Times New Roman"/>
          <w:b/>
          <w:sz w:val="26"/>
          <w:szCs w:val="26"/>
        </w:rPr>
        <w:t xml:space="preserve">Индивидуальные предприниматели </w:t>
      </w:r>
    </w:p>
    <w:p w:rsidR="00FD0ABA" w:rsidRPr="00492534" w:rsidRDefault="00FD0ABA" w:rsidP="00A62E0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В части индивидуальных предпринимателей</w:t>
      </w:r>
      <w:r w:rsidR="00A62E0C" w:rsidRPr="00492534">
        <w:rPr>
          <w:rFonts w:ascii="Times New Roman" w:hAnsi="Times New Roman" w:cs="Times New Roman"/>
          <w:sz w:val="26"/>
          <w:szCs w:val="26"/>
        </w:rPr>
        <w:t xml:space="preserve"> кардинально меняется </w:t>
      </w:r>
      <w:r w:rsidR="00D878F1" w:rsidRPr="00492534">
        <w:rPr>
          <w:rFonts w:ascii="Times New Roman" w:hAnsi="Times New Roman" w:cs="Times New Roman"/>
          <w:sz w:val="26"/>
          <w:szCs w:val="26"/>
        </w:rPr>
        <w:t xml:space="preserve">принцип уплаты авансовых платежей.  </w:t>
      </w:r>
      <w:r w:rsidR="00A62E0C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Pr="00492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78F1" w:rsidRPr="00492534" w:rsidRDefault="00D878F1" w:rsidP="00A62E0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Ранее авансовые платежи рассчитывались исходя их предполагаемого дохода</w:t>
      </w:r>
      <w:r w:rsidR="006A1CC4" w:rsidRPr="00492534">
        <w:rPr>
          <w:rFonts w:ascii="Times New Roman" w:hAnsi="Times New Roman" w:cs="Times New Roman"/>
          <w:sz w:val="26"/>
          <w:szCs w:val="26"/>
        </w:rPr>
        <w:t xml:space="preserve">, сейчас – исходя из фактического дохода.  </w:t>
      </w:r>
    </w:p>
    <w:p w:rsidR="007F62D4" w:rsidRPr="00492534" w:rsidRDefault="00894584" w:rsidP="00A62E0C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Раньше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 индивидуальный предприниматель в случае </w:t>
      </w:r>
      <w:r w:rsidR="00D878F1" w:rsidRPr="00492534">
        <w:rPr>
          <w:rFonts w:ascii="Times New Roman" w:hAnsi="Times New Roman" w:cs="Times New Roman"/>
          <w:sz w:val="26"/>
          <w:szCs w:val="26"/>
        </w:rPr>
        <w:t xml:space="preserve">возникновения 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доходов от предпринимательской деятельности должен </w:t>
      </w:r>
      <w:r w:rsidRPr="00492534">
        <w:rPr>
          <w:rFonts w:ascii="Times New Roman" w:hAnsi="Times New Roman" w:cs="Times New Roman"/>
          <w:sz w:val="26"/>
          <w:szCs w:val="26"/>
        </w:rPr>
        <w:t xml:space="preserve">был 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сдать декларацию по форме 4-НДФЛ о предполагаемом доходе. Такой доход должен определить самостоятельно (п. 7 ст. 227 НК РФ). На основании этой </w:t>
      </w:r>
      <w:proofErr w:type="gramStart"/>
      <w:r w:rsidR="007F62D4" w:rsidRPr="00492534">
        <w:rPr>
          <w:rFonts w:ascii="Times New Roman" w:hAnsi="Times New Roman" w:cs="Times New Roman"/>
          <w:sz w:val="26"/>
          <w:szCs w:val="26"/>
        </w:rPr>
        <w:t>информации</w:t>
      </w:r>
      <w:proofErr w:type="gramEnd"/>
      <w:r w:rsidR="007F62D4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="00D878F1" w:rsidRPr="00492534">
        <w:rPr>
          <w:rFonts w:ascii="Times New Roman" w:hAnsi="Times New Roman" w:cs="Times New Roman"/>
          <w:sz w:val="26"/>
          <w:szCs w:val="26"/>
        </w:rPr>
        <w:t>НО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 рассчитывают предпринимателю авансовые платежи, которые он должен перечислить в бюджет (п. 8 ст. 227 НК РФ).</w:t>
      </w:r>
      <w:r w:rsidR="00265315" w:rsidRPr="00492534">
        <w:rPr>
          <w:rFonts w:ascii="Times New Roman" w:hAnsi="Times New Roman" w:cs="Times New Roman"/>
          <w:sz w:val="26"/>
          <w:szCs w:val="26"/>
        </w:rPr>
        <w:t xml:space="preserve"> Либо авансы рассчитывались налоговым органом на основании декларации 3-НДФЛ за предшествующий налоговый период.</w:t>
      </w:r>
    </w:p>
    <w:p w:rsidR="00185FD4" w:rsidRPr="00492534" w:rsidRDefault="00FE1C55" w:rsidP="00A62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вансовые платежи </w:t>
      </w:r>
      <w:r w:rsidR="006B6037" w:rsidRPr="00492534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7F62D4" w:rsidRPr="00492534">
        <w:rPr>
          <w:rFonts w:ascii="Times New Roman" w:hAnsi="Times New Roman" w:cs="Times New Roman"/>
          <w:sz w:val="26"/>
          <w:szCs w:val="26"/>
        </w:rPr>
        <w:t>уплачиват</w:t>
      </w:r>
      <w:r w:rsidR="006B6037" w:rsidRPr="00492534">
        <w:rPr>
          <w:rFonts w:ascii="Times New Roman" w:hAnsi="Times New Roman" w:cs="Times New Roman"/>
          <w:sz w:val="26"/>
          <w:szCs w:val="26"/>
        </w:rPr>
        <w:t>ь</w:t>
      </w:r>
      <w:r w:rsidR="007F62D4" w:rsidRPr="00492534">
        <w:rPr>
          <w:rFonts w:ascii="Times New Roman" w:hAnsi="Times New Roman" w:cs="Times New Roman"/>
          <w:sz w:val="26"/>
          <w:szCs w:val="26"/>
        </w:rPr>
        <w:t>ся не позднее 25-го числа первого месяца, следующего</w:t>
      </w:r>
      <w:r w:rsidRPr="00492534">
        <w:rPr>
          <w:rFonts w:ascii="Times New Roman" w:hAnsi="Times New Roman" w:cs="Times New Roman"/>
          <w:sz w:val="26"/>
          <w:szCs w:val="26"/>
        </w:rPr>
        <w:t xml:space="preserve"> за отчетным периодом.</w:t>
      </w:r>
      <w:r w:rsidR="007F62D4" w:rsidRPr="00492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263" w:rsidRPr="00492534" w:rsidRDefault="00542263" w:rsidP="00A62E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7816" w:rsidRPr="00492534" w:rsidRDefault="00FE1C55" w:rsidP="00A62E0C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2534">
        <w:rPr>
          <w:rFonts w:ascii="Times New Roman" w:hAnsi="Times New Roman" w:cs="Times New Roman"/>
          <w:b/>
          <w:sz w:val="26"/>
          <w:szCs w:val="26"/>
        </w:rPr>
        <w:t xml:space="preserve">                                  Физические лица</w:t>
      </w:r>
    </w:p>
    <w:p w:rsidR="00FE1C55" w:rsidRPr="00492534" w:rsidRDefault="002B697E" w:rsidP="00FE1C5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- </w:t>
      </w:r>
      <w:r w:rsidR="00FE1C55" w:rsidRPr="00492534">
        <w:rPr>
          <w:rFonts w:ascii="Times New Roman" w:hAnsi="Times New Roman" w:cs="Times New Roman"/>
          <w:sz w:val="26"/>
          <w:szCs w:val="26"/>
        </w:rPr>
        <w:t>Возможность получения социального налогового вычета по любым назначенным лекарственным средствам</w:t>
      </w:r>
      <w:r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Pr="00492534">
        <w:rPr>
          <w:rFonts w:ascii="Times New Roman" w:hAnsi="Times New Roman" w:cs="Times New Roman"/>
          <w:b/>
          <w:bCs/>
          <w:sz w:val="26"/>
          <w:szCs w:val="26"/>
        </w:rPr>
        <w:t xml:space="preserve">по доходам 2019 года </w:t>
      </w:r>
      <w:r w:rsidR="00FE1C55" w:rsidRPr="00492534">
        <w:rPr>
          <w:rFonts w:ascii="Times New Roman" w:hAnsi="Times New Roman" w:cs="Times New Roman"/>
          <w:sz w:val="26"/>
          <w:szCs w:val="26"/>
        </w:rPr>
        <w:t>(Федеральный закон от 17.06.2019 N 147-ФЗ)</w:t>
      </w:r>
      <w:r w:rsidRPr="00492534">
        <w:rPr>
          <w:rFonts w:ascii="Times New Roman" w:hAnsi="Times New Roman" w:cs="Times New Roman"/>
          <w:sz w:val="26"/>
          <w:szCs w:val="26"/>
        </w:rPr>
        <w:t>.</w:t>
      </w:r>
    </w:p>
    <w:p w:rsidR="002B697E" w:rsidRPr="00492534" w:rsidRDefault="002B697E" w:rsidP="002B697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- Сокращен минимальный срок владения единственным жильем для освобождения дохода от уплаты НДФЛ (Федеральный закон от 26.07.2019 N 210-ФЗ)</w:t>
      </w:r>
    </w:p>
    <w:p w:rsidR="00A45F2F" w:rsidRPr="00492534" w:rsidRDefault="002B697E" w:rsidP="00A45F2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    -</w:t>
      </w:r>
      <w:r w:rsidR="00A45F2F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Pr="00492534">
        <w:rPr>
          <w:rFonts w:ascii="Times New Roman" w:hAnsi="Times New Roman" w:cs="Times New Roman"/>
          <w:sz w:val="26"/>
          <w:szCs w:val="26"/>
        </w:rPr>
        <w:t>При</w:t>
      </w:r>
      <w:r w:rsidR="00A45F2F" w:rsidRPr="00492534">
        <w:rPr>
          <w:rFonts w:ascii="Times New Roman" w:hAnsi="Times New Roman" w:cs="Times New Roman"/>
          <w:sz w:val="26"/>
          <w:szCs w:val="26"/>
        </w:rPr>
        <w:t xml:space="preserve"> </w:t>
      </w:r>
      <w:r w:rsidRPr="00492534">
        <w:rPr>
          <w:rFonts w:ascii="Times New Roman" w:hAnsi="Times New Roman" w:cs="Times New Roman"/>
          <w:sz w:val="26"/>
          <w:szCs w:val="26"/>
        </w:rPr>
        <w:t>продаже имущества (за исключением ценных бумаг), полученного на безвозмездной основе или с частичной оплатой, а также по договору дарения, налогоплательщик вправе уменьшить полученные доходы от продажи такого имущества на величину документально подтвержденных расходов в виде сумм, с которых был исчислен и уплачен налог при приобретении (получении) такого имущества.</w:t>
      </w:r>
      <w:r w:rsidR="00A45F2F" w:rsidRPr="00492534">
        <w:rPr>
          <w:rFonts w:ascii="Times New Roman" w:hAnsi="Times New Roman" w:cs="Times New Roman"/>
          <w:sz w:val="26"/>
          <w:szCs w:val="26"/>
        </w:rPr>
        <w:t xml:space="preserve"> (Федеральный закон от 29.09.2019 N 325-ФЗ)</w:t>
      </w:r>
    </w:p>
    <w:p w:rsidR="00A45F2F" w:rsidRPr="00492534" w:rsidRDefault="002B697E" w:rsidP="002B6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-</w:t>
      </w:r>
      <w:r w:rsidR="00A45F2F" w:rsidRPr="00492534">
        <w:rPr>
          <w:rFonts w:ascii="Times New Roman" w:hAnsi="Times New Roman" w:cs="Times New Roman"/>
          <w:sz w:val="26"/>
          <w:szCs w:val="26"/>
        </w:rPr>
        <w:t xml:space="preserve">  При продаже имущества, полученного в порядке наследования или дарения в соответствии с пунктами 18 и 18.1 статьи 217 можно учесть расходы</w:t>
      </w:r>
      <w:r w:rsidR="00C657DE" w:rsidRPr="00492534">
        <w:rPr>
          <w:rFonts w:ascii="Times New Roman" w:hAnsi="Times New Roman" w:cs="Times New Roman"/>
          <w:sz w:val="26"/>
          <w:szCs w:val="26"/>
        </w:rPr>
        <w:t xml:space="preserve"> наследодателя или дарителя на приобретение. если такие расходы не учитывались ими в целях налогообложения</w:t>
      </w:r>
      <w:r w:rsidR="00A45F2F" w:rsidRPr="00492534">
        <w:rPr>
          <w:rFonts w:ascii="Times New Roman" w:hAnsi="Times New Roman" w:cs="Times New Roman"/>
          <w:sz w:val="26"/>
          <w:szCs w:val="26"/>
        </w:rPr>
        <w:t>, за исключением случаев, предусмотренных подпунктами 3 и 4 пункта 1 настоящей статьи</w:t>
      </w:r>
    </w:p>
    <w:p w:rsidR="00A45F2F" w:rsidRPr="00492534" w:rsidRDefault="00A45F2F" w:rsidP="00A45F2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(Федеральный закон от 29.09.2019 N 325-ФЗ)</w:t>
      </w:r>
    </w:p>
    <w:p w:rsidR="00A45F2F" w:rsidRPr="00492534" w:rsidRDefault="00A45F2F" w:rsidP="00C65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 xml:space="preserve">- </w:t>
      </w:r>
      <w:r w:rsidR="00C657DE" w:rsidRPr="00492534">
        <w:rPr>
          <w:rFonts w:ascii="Times New Roman" w:hAnsi="Times New Roman" w:cs="Times New Roman"/>
          <w:sz w:val="26"/>
          <w:szCs w:val="26"/>
        </w:rPr>
        <w:t xml:space="preserve"> П</w:t>
      </w:r>
      <w:r w:rsidRPr="00492534">
        <w:rPr>
          <w:rFonts w:ascii="Times New Roman" w:hAnsi="Times New Roman" w:cs="Times New Roman"/>
          <w:sz w:val="26"/>
          <w:szCs w:val="26"/>
        </w:rPr>
        <w:t>ри получении дохода от продажи доли в объекте недв</w:t>
      </w:r>
      <w:r w:rsidR="00C657DE" w:rsidRPr="00492534">
        <w:rPr>
          <w:rFonts w:ascii="Times New Roman" w:hAnsi="Times New Roman" w:cs="Times New Roman"/>
          <w:sz w:val="26"/>
          <w:szCs w:val="26"/>
        </w:rPr>
        <w:t>ижимого имущества, приобретенного на средства материнского капитала</w:t>
      </w:r>
      <w:r w:rsidRPr="0049253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9" w:history="1">
        <w:r w:rsidRPr="00492534">
          <w:rPr>
            <w:rFonts w:ascii="Times New Roman" w:hAnsi="Times New Roman" w:cs="Times New Roman"/>
            <w:color w:val="0000FF"/>
            <w:sz w:val="26"/>
            <w:szCs w:val="26"/>
          </w:rPr>
          <w:t>частью 4 статьи 10</w:t>
        </w:r>
      </w:hyperlink>
      <w:r w:rsidRPr="00492534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2006 года N 256-ФЗ "О дополнительных мерах государственной поддержки семей, имеющих детей", налогоплательщик вправе уменьшить сумму своего облагаемого налогом дохода на величину фактически произведенных и документально подтвержденных расходов на приобретение этого объекта недвижимого имущества в размере, пропорциональном указанной доле налогоплательщика в объекте недвижимого имущества, при одновременном соблюдении следующих условий:</w:t>
      </w:r>
    </w:p>
    <w:p w:rsidR="00A45F2F" w:rsidRPr="00492534" w:rsidRDefault="00A45F2F" w:rsidP="00C65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расходы на приобретение объекта недвижимого имущества произведены членом семьи налогоплательщика - владельцем сертификата (иного документа) на материнский (семейный) капитал и (или) его супругом (супругой);</w:t>
      </w:r>
    </w:p>
    <w:p w:rsidR="00A45F2F" w:rsidRPr="00492534" w:rsidRDefault="00A45F2F" w:rsidP="00C65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92534">
        <w:rPr>
          <w:rFonts w:ascii="Times New Roman" w:hAnsi="Times New Roman" w:cs="Times New Roman"/>
          <w:sz w:val="26"/>
          <w:szCs w:val="26"/>
        </w:rPr>
        <w:t>величина расходов на приобретение объекта недвижимого имущества в доле, приходящейся на налогоплательщика, уменьшающая сумму облагаемого налогом дохода налогоплательщика, не учитывалась другими членами семьи налогоплательщика (их супругами) в целях налогообложения, за исключением случаев, предусмотренных подпунктами 3 и 4 пункта 1 настоящей статьи.</w:t>
      </w:r>
    </w:p>
    <w:p w:rsidR="002B697E" w:rsidRPr="00492534" w:rsidRDefault="002B697E" w:rsidP="002B697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17396" w:rsidRPr="00492534" w:rsidRDefault="00817396" w:rsidP="00A62E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2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Страховые взносы</w:t>
      </w:r>
    </w:p>
    <w:p w:rsidR="009A7CD3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С 01.01.2020 не внесено значительных изменений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по администрированию страховых взносов.</w:t>
      </w:r>
    </w:p>
    <w:p w:rsidR="00C213E0" w:rsidRPr="00492534" w:rsidRDefault="00C213E0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Тем не менее, некоторые имеют место быть.</w:t>
      </w:r>
    </w:p>
    <w:p w:rsidR="005649D4" w:rsidRPr="00492534" w:rsidRDefault="009A7CD3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1.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Постановлением Правительства Российской федерации от 06.11.2019 установлена предельная величина </w:t>
      </w:r>
      <w:r w:rsidR="005649D4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01.01.2020: 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ОПС - 1 292 000 руб.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(22%, свыше 10%)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ФСС – 912 000 руб.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(2.9, свыше не облагается)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В 2019 году была сумма 1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>150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>000 и 865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>000</w:t>
      </w:r>
      <w:r w:rsidR="009A7CD3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рублей.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2</w:t>
      </w:r>
      <w:r w:rsidR="009A7CD3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Подпункт 7 пункта 3.4 статьи 23 части первой Налогового кодекса дополнен критерием для наделения организацией своих обособленных подразделений полномочиями 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по начислению и выплатам вознаграждений в пользу физических лиц (подпункт «б» пункта 3 статьи 2 Федерального закона № 325-ФЗ).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Так, с 01.01.2020 года плательщики страховых взносов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обязаны сообщать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в налоговый орган по месту нахождения российской организации - плательщика страховых взносов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о наделении обособленного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подразделения (включая филиал, представительство), созданного на территории Российской Федерации,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которому открыт счет в банке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, полномочиями (о лишении полномочий) начислять и производить выплаты и вознаграждения в пользу физических лиц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в течение одного месяца со дня наделения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его соответствующими полномочиями (лишения полномочий).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То есть, с 01.01.2020 года наделить соответствующими полномочиями плательщик может только те обособленные подразделения, которым открыт счет в банке. </w:t>
      </w:r>
    </w:p>
    <w:p w:rsidR="00F357A0" w:rsidRPr="00492534" w:rsidRDefault="00F357A0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Что влечет это изменение. </w:t>
      </w:r>
      <w:r w:rsidR="00962C81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Организации должны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открыть расчетный счет, либо организации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должны лишить полномочий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обособленные подразделения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, не имеющие расчетного счета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. Начиная с 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отч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етности за 1 квартал 2020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на стадии приема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будут реализованы контрольные соотношения,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т.е.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обособленные подразделения, не имеющие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расчетного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счета, не смогут сдать отчетность</w:t>
      </w:r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gramStart"/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в</w:t>
      </w:r>
      <w:proofErr w:type="gramEnd"/>
      <w:r w:rsidR="00133FF7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НО.</w:t>
      </w: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   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3</w:t>
      </w:r>
      <w:r w:rsidR="009A7CD3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ab/>
        <w:t>Подпунктом «б» пункта 85 статьи 2 Федерального закона № 325-ФЗ внесены изменения в пункт 10 статьи 431 Налогового кодекса.</w:t>
      </w:r>
    </w:p>
    <w:p w:rsidR="00687816" w:rsidRPr="00492534" w:rsidRDefault="009A7CD3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>Так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, плательщики страховых взносов, у которых </w:t>
      </w:r>
      <w:r w:rsidR="00687816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численность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физических лиц, в пользу которых начислены выплаты и иные вознаграждения, за расчетный (отчетный) период </w:t>
      </w:r>
      <w:r w:rsidR="00687816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превышает 10 человек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87816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а также вновь созданные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(в том числе в результате реорганизации) организации, у которых численность указанных физических лиц превышает данный предел</w:t>
      </w:r>
      <w:r w:rsidR="00687816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, представляют расчеты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, указанные в пункте 7 статьи 431 Налогового кодекса, в налоговый орган </w:t>
      </w:r>
      <w:r w:rsidR="00687816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 электронной форме с использованием усиленной квалифицированной электронной подписи по телекоммуникационным каналам связи. </w:t>
      </w:r>
    </w:p>
    <w:p w:rsidR="00687816" w:rsidRPr="00492534" w:rsidRDefault="009A7CD3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Н</w:t>
      </w:r>
      <w:r w:rsidR="00687816" w:rsidRPr="00492534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ачиная с отчетного периода за четвертый квартал 2019 года.</w:t>
      </w:r>
    </w:p>
    <w:p w:rsidR="00687816" w:rsidRPr="00492534" w:rsidRDefault="009A7CD3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4.</w:t>
      </w:r>
      <w:r w:rsidR="00687816" w:rsidRPr="00492534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Пункт 8 статьи 430 Налогового кодекса дополнен положениями об определении суммы страховых взносов за неполный месяц, в течение которого плательщиком осуществлялась соответствующая деятельность. </w:t>
      </w:r>
      <w:r w:rsidR="00687816" w:rsidRPr="00492534">
        <w:rPr>
          <w:rFonts w:ascii="Times New Roman" w:eastAsia="Calibri" w:hAnsi="Times New Roman" w:cs="Times New Roman"/>
          <w:bCs/>
          <w:i/>
          <w:sz w:val="26"/>
          <w:szCs w:val="26"/>
        </w:rPr>
        <w:t>(в случае, если в течение расчетного периода плательщики имели право на освобождение от уплаты СВ).</w:t>
      </w:r>
    </w:p>
    <w:p w:rsidR="00687816" w:rsidRPr="00492534" w:rsidRDefault="00687816" w:rsidP="00A6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Так,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за неполный месяц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деятельности 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>соответствующий фиксированный размер страховых взносов</w:t>
      </w:r>
      <w:r w:rsidR="00A67AE4"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67AE4" w:rsidRPr="00492534">
        <w:rPr>
          <w:rFonts w:ascii="Times New Roman" w:eastAsia="Calibri" w:hAnsi="Times New Roman" w:cs="Times New Roman"/>
          <w:bCs/>
          <w:sz w:val="26"/>
          <w:szCs w:val="26"/>
        </w:rPr>
        <w:t>теперь будет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 определят</w:t>
      </w:r>
      <w:r w:rsidR="00A67AE4" w:rsidRPr="00492534">
        <w:rPr>
          <w:rFonts w:ascii="Times New Roman" w:eastAsia="Calibri" w:hAnsi="Times New Roman" w:cs="Times New Roman"/>
          <w:bCs/>
          <w:sz w:val="26"/>
          <w:szCs w:val="26"/>
        </w:rPr>
        <w:t>ь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>ся</w:t>
      </w:r>
      <w:r w:rsidRPr="0049253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пропорционально количеству календарных дней этого месяца</w:t>
      </w:r>
      <w:r w:rsidRPr="00492534">
        <w:rPr>
          <w:rFonts w:ascii="Times New Roman" w:eastAsia="Calibri" w:hAnsi="Times New Roman" w:cs="Times New Roman"/>
          <w:bCs/>
          <w:sz w:val="26"/>
          <w:szCs w:val="26"/>
        </w:rPr>
        <w:t xml:space="preserve">, в течение которых плательщиком осуществлялась указанная деятельность. </w:t>
      </w:r>
      <w:r w:rsidR="00A67AE4" w:rsidRPr="00492534">
        <w:rPr>
          <w:rFonts w:ascii="Times New Roman" w:eastAsia="Calibri" w:hAnsi="Times New Roman" w:cs="Times New Roman"/>
          <w:bCs/>
          <w:sz w:val="26"/>
          <w:szCs w:val="26"/>
        </w:rPr>
        <w:t>Ранее считалось в календарных месяцах</w:t>
      </w:r>
    </w:p>
    <w:p w:rsidR="00A63D45" w:rsidRPr="00492534" w:rsidRDefault="00A63D45" w:rsidP="00A63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63D45" w:rsidRPr="00492534" w:rsidSect="00542263">
      <w:headerReference w:type="default" r:id="rId10"/>
      <w:pgSz w:w="11906" w:h="16838"/>
      <w:pgMar w:top="851" w:right="51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63" w:rsidRDefault="00542263" w:rsidP="00542263">
      <w:pPr>
        <w:spacing w:after="0" w:line="240" w:lineRule="auto"/>
      </w:pPr>
      <w:r>
        <w:separator/>
      </w:r>
    </w:p>
  </w:endnote>
  <w:endnote w:type="continuationSeparator" w:id="0">
    <w:p w:rsidR="00542263" w:rsidRDefault="00542263" w:rsidP="0054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63" w:rsidRDefault="00542263" w:rsidP="00542263">
      <w:pPr>
        <w:spacing w:after="0" w:line="240" w:lineRule="auto"/>
      </w:pPr>
      <w:r>
        <w:separator/>
      </w:r>
    </w:p>
  </w:footnote>
  <w:footnote w:type="continuationSeparator" w:id="0">
    <w:p w:rsidR="00542263" w:rsidRDefault="00542263" w:rsidP="0054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112614"/>
      <w:docPartObj>
        <w:docPartGallery w:val="Page Numbers (Top of Page)"/>
        <w:docPartUnique/>
      </w:docPartObj>
    </w:sdtPr>
    <w:sdtEndPr/>
    <w:sdtContent>
      <w:p w:rsidR="00542263" w:rsidRDefault="005422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886">
          <w:rPr>
            <w:noProof/>
          </w:rPr>
          <w:t>4</w:t>
        </w:r>
        <w:r>
          <w:fldChar w:fldCharType="end"/>
        </w:r>
      </w:p>
    </w:sdtContent>
  </w:sdt>
  <w:p w:rsidR="00542263" w:rsidRDefault="005422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A2C"/>
    <w:multiLevelType w:val="multilevel"/>
    <w:tmpl w:val="BAFCF59C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022E0"/>
    <w:multiLevelType w:val="multilevel"/>
    <w:tmpl w:val="3FB807C4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C0450"/>
    <w:multiLevelType w:val="multilevel"/>
    <w:tmpl w:val="5D304CB4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85CAB"/>
    <w:multiLevelType w:val="multilevel"/>
    <w:tmpl w:val="D1BEDC14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94F0F"/>
    <w:multiLevelType w:val="hybridMultilevel"/>
    <w:tmpl w:val="8C2ACFC8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39D9732B"/>
    <w:multiLevelType w:val="multilevel"/>
    <w:tmpl w:val="2E5AB074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080EC5"/>
    <w:multiLevelType w:val="hybridMultilevel"/>
    <w:tmpl w:val="13AA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E12F3"/>
    <w:multiLevelType w:val="multilevel"/>
    <w:tmpl w:val="44B42504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C6E30"/>
    <w:multiLevelType w:val="multilevel"/>
    <w:tmpl w:val="0D08587A"/>
    <w:lvl w:ilvl="0">
      <w:start w:val="1"/>
      <w:numFmt w:val="decimal"/>
      <w:lvlText w:val="%1)"/>
      <w:lvlJc w:val="left"/>
      <w:pPr>
        <w:tabs>
          <w:tab w:val="num" w:pos="442"/>
        </w:tabs>
        <w:ind w:left="442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E76CD5"/>
    <w:multiLevelType w:val="multilevel"/>
    <w:tmpl w:val="00F29302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1C4C65"/>
    <w:multiLevelType w:val="multilevel"/>
    <w:tmpl w:val="F640A030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062D67"/>
    <w:multiLevelType w:val="multilevel"/>
    <w:tmpl w:val="1042FB2A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907D7A"/>
    <w:multiLevelType w:val="hybridMultilevel"/>
    <w:tmpl w:val="FE8E39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DA314C"/>
    <w:multiLevelType w:val="multilevel"/>
    <w:tmpl w:val="E14E1F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AA"/>
    <w:rsid w:val="00005EDB"/>
    <w:rsid w:val="00011B76"/>
    <w:rsid w:val="00022DD1"/>
    <w:rsid w:val="00077EDB"/>
    <w:rsid w:val="000842A6"/>
    <w:rsid w:val="000B4A47"/>
    <w:rsid w:val="000D2886"/>
    <w:rsid w:val="000E188C"/>
    <w:rsid w:val="000E7C97"/>
    <w:rsid w:val="00133FF7"/>
    <w:rsid w:val="00135FE4"/>
    <w:rsid w:val="00144F0F"/>
    <w:rsid w:val="00146D9C"/>
    <w:rsid w:val="00185FD4"/>
    <w:rsid w:val="001913EC"/>
    <w:rsid w:val="001A4B74"/>
    <w:rsid w:val="001B3078"/>
    <w:rsid w:val="001D2B66"/>
    <w:rsid w:val="001E0B4B"/>
    <w:rsid w:val="002031E8"/>
    <w:rsid w:val="0021351D"/>
    <w:rsid w:val="00216E0B"/>
    <w:rsid w:val="0023098B"/>
    <w:rsid w:val="00232D58"/>
    <w:rsid w:val="00265315"/>
    <w:rsid w:val="002860E8"/>
    <w:rsid w:val="002B697E"/>
    <w:rsid w:val="002F2035"/>
    <w:rsid w:val="00350CAA"/>
    <w:rsid w:val="003642F3"/>
    <w:rsid w:val="003659D3"/>
    <w:rsid w:val="00386F43"/>
    <w:rsid w:val="003946FB"/>
    <w:rsid w:val="003C5B17"/>
    <w:rsid w:val="003E5F41"/>
    <w:rsid w:val="003E7DE4"/>
    <w:rsid w:val="003F3EB3"/>
    <w:rsid w:val="003F5E2E"/>
    <w:rsid w:val="00423B15"/>
    <w:rsid w:val="00442662"/>
    <w:rsid w:val="00452BB3"/>
    <w:rsid w:val="00454DA4"/>
    <w:rsid w:val="00476B82"/>
    <w:rsid w:val="00492534"/>
    <w:rsid w:val="004C5096"/>
    <w:rsid w:val="004D01E3"/>
    <w:rsid w:val="004D7038"/>
    <w:rsid w:val="00500F87"/>
    <w:rsid w:val="00522C59"/>
    <w:rsid w:val="00541A3E"/>
    <w:rsid w:val="00541ACA"/>
    <w:rsid w:val="00542263"/>
    <w:rsid w:val="00543FDC"/>
    <w:rsid w:val="005649D4"/>
    <w:rsid w:val="005B5B1D"/>
    <w:rsid w:val="005D003D"/>
    <w:rsid w:val="005D073C"/>
    <w:rsid w:val="0062798D"/>
    <w:rsid w:val="00666710"/>
    <w:rsid w:val="00683EF8"/>
    <w:rsid w:val="00687816"/>
    <w:rsid w:val="006A1CC4"/>
    <w:rsid w:val="006B6037"/>
    <w:rsid w:val="006D1F5F"/>
    <w:rsid w:val="006D70F1"/>
    <w:rsid w:val="00717829"/>
    <w:rsid w:val="00764088"/>
    <w:rsid w:val="00776800"/>
    <w:rsid w:val="00783D8E"/>
    <w:rsid w:val="0078607C"/>
    <w:rsid w:val="007A2642"/>
    <w:rsid w:val="007C373C"/>
    <w:rsid w:val="007C3D5A"/>
    <w:rsid w:val="007D4FDE"/>
    <w:rsid w:val="007D7FA9"/>
    <w:rsid w:val="007F3953"/>
    <w:rsid w:val="007F62D4"/>
    <w:rsid w:val="007F780A"/>
    <w:rsid w:val="00817396"/>
    <w:rsid w:val="00867334"/>
    <w:rsid w:val="00894584"/>
    <w:rsid w:val="008B3051"/>
    <w:rsid w:val="008B4353"/>
    <w:rsid w:val="008E73DA"/>
    <w:rsid w:val="00916272"/>
    <w:rsid w:val="00951735"/>
    <w:rsid w:val="00962C81"/>
    <w:rsid w:val="0096614F"/>
    <w:rsid w:val="009A7CD3"/>
    <w:rsid w:val="009E43C0"/>
    <w:rsid w:val="00A11976"/>
    <w:rsid w:val="00A3492B"/>
    <w:rsid w:val="00A353CF"/>
    <w:rsid w:val="00A45F2F"/>
    <w:rsid w:val="00A62E0C"/>
    <w:rsid w:val="00A63D45"/>
    <w:rsid w:val="00A67AE4"/>
    <w:rsid w:val="00AA2855"/>
    <w:rsid w:val="00AA7FAF"/>
    <w:rsid w:val="00AC338A"/>
    <w:rsid w:val="00B4471D"/>
    <w:rsid w:val="00C213E0"/>
    <w:rsid w:val="00C657DE"/>
    <w:rsid w:val="00C7035B"/>
    <w:rsid w:val="00C736B4"/>
    <w:rsid w:val="00CA7A44"/>
    <w:rsid w:val="00CD6D0C"/>
    <w:rsid w:val="00D321C9"/>
    <w:rsid w:val="00D344FF"/>
    <w:rsid w:val="00D61FA2"/>
    <w:rsid w:val="00D62A22"/>
    <w:rsid w:val="00D878F1"/>
    <w:rsid w:val="00DC69DF"/>
    <w:rsid w:val="00DD7B1D"/>
    <w:rsid w:val="00DE6EC2"/>
    <w:rsid w:val="00E05F25"/>
    <w:rsid w:val="00E3391B"/>
    <w:rsid w:val="00E75E53"/>
    <w:rsid w:val="00E8328E"/>
    <w:rsid w:val="00E87952"/>
    <w:rsid w:val="00EB00A0"/>
    <w:rsid w:val="00EC0838"/>
    <w:rsid w:val="00EF31AA"/>
    <w:rsid w:val="00EF6F53"/>
    <w:rsid w:val="00F0694F"/>
    <w:rsid w:val="00F14618"/>
    <w:rsid w:val="00F2476D"/>
    <w:rsid w:val="00F357A0"/>
    <w:rsid w:val="00F56FED"/>
    <w:rsid w:val="00F73783"/>
    <w:rsid w:val="00F82FC2"/>
    <w:rsid w:val="00F921D1"/>
    <w:rsid w:val="00F972E5"/>
    <w:rsid w:val="00FD0ABA"/>
    <w:rsid w:val="00FE1C55"/>
    <w:rsid w:val="00FE223A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09FBDA-D733-4C9D-ACC7-D4526ADC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31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671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E6E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95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4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2263"/>
  </w:style>
  <w:style w:type="paragraph" w:styleId="aa">
    <w:name w:val="footer"/>
    <w:basedOn w:val="a"/>
    <w:link w:val="ab"/>
    <w:uiPriority w:val="99"/>
    <w:unhideWhenUsed/>
    <w:rsid w:val="0054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5A0C03C9F8075F238B35614A387D45F85D98A83B07F45AB79036078B22E3B78B2DDDBA19A64EB7499CBFE6E4FA6B30CB728A0207A5EC02SA2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DD96-B73A-4230-A640-7283E44B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Заказчикова Любовь Николаевна</dc:creator>
  <cp:lastModifiedBy>Цыбиков Чингиз Григорьевич</cp:lastModifiedBy>
  <cp:revision>2</cp:revision>
  <cp:lastPrinted>2020-01-23T03:51:00Z</cp:lastPrinted>
  <dcterms:created xsi:type="dcterms:W3CDTF">2020-01-27T02:40:00Z</dcterms:created>
  <dcterms:modified xsi:type="dcterms:W3CDTF">2020-01-27T02:40:00Z</dcterms:modified>
</cp:coreProperties>
</file>